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B308" w14:textId="77777777" w:rsidR="001F6CF2" w:rsidRPr="001F6CF2" w:rsidRDefault="001F6CF2" w:rsidP="001F6CF2">
      <w:pPr>
        <w:shd w:val="clear" w:color="auto" w:fill="FFFFFF"/>
        <w:outlineLvl w:val="0"/>
        <w:rPr>
          <w:rFonts w:ascii="Lato" w:eastAsia="Times New Roman" w:hAnsi="Lato" w:cs="Times New Roman"/>
          <w:color w:val="CC3300"/>
          <w:kern w:val="36"/>
          <w:sz w:val="36"/>
          <w:szCs w:val="36"/>
          <w:lang w:eastAsia="fr-FR"/>
        </w:rPr>
      </w:pPr>
      <w:r w:rsidRPr="001F6CF2">
        <w:rPr>
          <w:rFonts w:ascii="Lato" w:eastAsia="Times New Roman" w:hAnsi="Lato" w:cs="Times New Roman"/>
          <w:color w:val="CC3300"/>
          <w:kern w:val="36"/>
          <w:sz w:val="36"/>
          <w:szCs w:val="36"/>
          <w:lang w:eastAsia="fr-FR"/>
        </w:rPr>
        <w:t>Les tensions sur l’offre en cuivre et en zinc font grimper les primes</w:t>
      </w:r>
    </w:p>
    <w:p w14:paraId="345009EC" w14:textId="77777777" w:rsidR="001F6CF2" w:rsidRDefault="001F6CF2" w:rsidP="001F6CF2">
      <w:pPr>
        <w:shd w:val="clear" w:color="auto" w:fill="FFFFFF"/>
        <w:spacing w:before="75" w:after="75"/>
        <w:jc w:val="both"/>
        <w:rPr>
          <w:rFonts w:ascii="Lato" w:eastAsia="Times New Roman" w:hAnsi="Lato" w:cs="Times New Roman"/>
          <w:color w:val="3E001F"/>
          <w:sz w:val="30"/>
          <w:szCs w:val="30"/>
          <w:lang w:eastAsia="fr-FR"/>
        </w:rPr>
      </w:pPr>
    </w:p>
    <w:p w14:paraId="74CAB105" w14:textId="01299BF0"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b/>
          <w:bCs/>
          <w:color w:val="000000"/>
          <w:sz w:val="23"/>
          <w:szCs w:val="23"/>
          <w:lang w:eastAsia="fr-FR"/>
        </w:rPr>
        <w:t>Rotterdam.– Les tensions sur les disponibilités ont porté les primes nouées sur les lingots de zinc et les cathodes de cuivre, qui ont progressé ces derniers jours. Les primes sur l’aluminium continuent elles de s’enfoncer, tirées à la baisse par le recul de la demande. Idem pour les primes sur le nickel.</w:t>
      </w:r>
    </w:p>
    <w:p w14:paraId="1EF60C46"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 </w:t>
      </w:r>
    </w:p>
    <w:p w14:paraId="60418BDB"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b/>
          <w:bCs/>
          <w:color w:val="A52A2A"/>
          <w:sz w:val="23"/>
          <w:szCs w:val="23"/>
          <w:lang w:eastAsia="fr-FR"/>
        </w:rPr>
        <w:t>Cuivre : progression en Italie</w:t>
      </w:r>
    </w:p>
    <w:p w14:paraId="4D9F33C3"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Les primes conclues sur le marché européen ont stagné, à l’exception de celles nouées en </w:t>
      </w:r>
      <w:r w:rsidRPr="001F6CF2">
        <w:rPr>
          <w:rFonts w:ascii="Lato" w:eastAsia="Times New Roman" w:hAnsi="Lato" w:cs="Times New Roman"/>
          <w:b/>
          <w:bCs/>
          <w:color w:val="000000"/>
          <w:sz w:val="23"/>
          <w:szCs w:val="23"/>
          <w:lang w:eastAsia="fr-FR"/>
        </w:rPr>
        <w:t>Italie</w:t>
      </w:r>
      <w:r w:rsidRPr="001F6CF2">
        <w:rPr>
          <w:rFonts w:ascii="Lato" w:eastAsia="Times New Roman" w:hAnsi="Lato" w:cs="Times New Roman"/>
          <w:color w:val="000000"/>
          <w:sz w:val="23"/>
          <w:szCs w:val="23"/>
          <w:lang w:eastAsia="fr-FR"/>
        </w:rPr>
        <w:t xml:space="preserve">, où les conditions logistiques sont tendues et l’offre ténue. Les primes </w:t>
      </w:r>
      <w:proofErr w:type="spellStart"/>
      <w:r w:rsidRPr="001F6CF2">
        <w:rPr>
          <w:rFonts w:ascii="Lato" w:eastAsia="Times New Roman" w:hAnsi="Lato" w:cs="Times New Roman"/>
          <w:color w:val="000000"/>
          <w:sz w:val="23"/>
          <w:szCs w:val="23"/>
          <w:lang w:eastAsia="fr-FR"/>
        </w:rPr>
        <w:t>cif</w:t>
      </w:r>
      <w:proofErr w:type="spellEnd"/>
      <w:r w:rsidRPr="001F6CF2">
        <w:rPr>
          <w:rFonts w:ascii="Lato" w:eastAsia="Times New Roman" w:hAnsi="Lato" w:cs="Times New Roman"/>
          <w:color w:val="000000"/>
          <w:sz w:val="23"/>
          <w:szCs w:val="23"/>
          <w:lang w:eastAsia="fr-FR"/>
        </w:rPr>
        <w:t> </w:t>
      </w:r>
      <w:r w:rsidRPr="001F6CF2">
        <w:rPr>
          <w:rFonts w:ascii="Lato" w:eastAsia="Times New Roman" w:hAnsi="Lato" w:cs="Times New Roman"/>
          <w:b/>
          <w:bCs/>
          <w:color w:val="000000"/>
          <w:sz w:val="23"/>
          <w:szCs w:val="23"/>
          <w:lang w:eastAsia="fr-FR"/>
        </w:rPr>
        <w:t>Livourne </w:t>
      </w:r>
      <w:r w:rsidRPr="001F6CF2">
        <w:rPr>
          <w:rFonts w:ascii="Lato" w:eastAsia="Times New Roman" w:hAnsi="Lato" w:cs="Times New Roman"/>
          <w:color w:val="000000"/>
          <w:sz w:val="23"/>
          <w:szCs w:val="23"/>
          <w:lang w:eastAsia="fr-FR"/>
        </w:rPr>
        <w:t>ont progressé à 150-170 $/t, contre 140-160 $/t la semaine passée. «</w:t>
      </w:r>
      <w:r w:rsidRPr="001F6CF2">
        <w:rPr>
          <w:rFonts w:ascii="Lato" w:eastAsia="Times New Roman" w:hAnsi="Lato" w:cs="Times New Roman"/>
          <w:i/>
          <w:iCs/>
          <w:color w:val="000000"/>
          <w:sz w:val="23"/>
          <w:szCs w:val="23"/>
          <w:lang w:eastAsia="fr-FR"/>
        </w:rPr>
        <w:t> Les vendeurs se positionnent très haut en Italie tandis que les acheteurs se placent relativement bas</w:t>
      </w:r>
      <w:r w:rsidRPr="001F6CF2">
        <w:rPr>
          <w:rFonts w:ascii="Lato" w:eastAsia="Times New Roman" w:hAnsi="Lato" w:cs="Times New Roman"/>
          <w:color w:val="000000"/>
          <w:sz w:val="23"/>
          <w:szCs w:val="23"/>
          <w:lang w:eastAsia="fr-FR"/>
        </w:rPr>
        <w:t> », constate un trader de la péninsule. « </w:t>
      </w:r>
      <w:r w:rsidRPr="001F6CF2">
        <w:rPr>
          <w:rFonts w:ascii="Lato" w:eastAsia="Times New Roman" w:hAnsi="Lato" w:cs="Times New Roman"/>
          <w:i/>
          <w:iCs/>
          <w:color w:val="000000"/>
          <w:sz w:val="23"/>
          <w:szCs w:val="23"/>
          <w:lang w:eastAsia="fr-FR"/>
        </w:rPr>
        <w:t xml:space="preserve">La difficulté est qu’en raison du niveau élevé de la </w:t>
      </w:r>
      <w:proofErr w:type="spellStart"/>
      <w:r w:rsidRPr="001F6CF2">
        <w:rPr>
          <w:rFonts w:ascii="Lato" w:eastAsia="Times New Roman" w:hAnsi="Lato" w:cs="Times New Roman"/>
          <w:i/>
          <w:iCs/>
          <w:color w:val="000000"/>
          <w:sz w:val="23"/>
          <w:szCs w:val="23"/>
          <w:lang w:eastAsia="fr-FR"/>
        </w:rPr>
        <w:t>backwardation</w:t>
      </w:r>
      <w:proofErr w:type="spellEnd"/>
      <w:r w:rsidRPr="001F6CF2">
        <w:rPr>
          <w:rFonts w:ascii="Lato" w:eastAsia="Times New Roman" w:hAnsi="Lato" w:cs="Times New Roman"/>
          <w:i/>
          <w:iCs/>
          <w:color w:val="000000"/>
          <w:sz w:val="23"/>
          <w:szCs w:val="23"/>
          <w:lang w:eastAsia="fr-FR"/>
        </w:rPr>
        <w:t>, personne ne veut vendre à une prime basse</w:t>
      </w:r>
      <w:r w:rsidRPr="001F6CF2">
        <w:rPr>
          <w:rFonts w:ascii="Lato" w:eastAsia="Times New Roman" w:hAnsi="Lato" w:cs="Times New Roman"/>
          <w:color w:val="000000"/>
          <w:sz w:val="23"/>
          <w:szCs w:val="23"/>
          <w:lang w:eastAsia="fr-FR"/>
        </w:rPr>
        <w:t> », poursuit le trader. Lundi 3 octobre, la back était de 120 $/t. La demande recule, certes, mais l’offre est très tendue ; les entrepôts de la péninsule sont vides. Les coûts logistiques ont d’autre part crû en Italie, ce qui soutient les primes. « </w:t>
      </w:r>
      <w:r w:rsidRPr="001F6CF2">
        <w:rPr>
          <w:rFonts w:ascii="Lato" w:eastAsia="Times New Roman" w:hAnsi="Lato" w:cs="Times New Roman"/>
          <w:i/>
          <w:iCs/>
          <w:color w:val="000000"/>
          <w:sz w:val="23"/>
          <w:szCs w:val="23"/>
          <w:lang w:eastAsia="fr-FR"/>
        </w:rPr>
        <w:t>La logistique est cauchemardesque, que ce soit sur les réseaux ferré ou autoroutier</w:t>
      </w:r>
      <w:r w:rsidRPr="001F6CF2">
        <w:rPr>
          <w:rFonts w:ascii="Lato" w:eastAsia="Times New Roman" w:hAnsi="Lato" w:cs="Times New Roman"/>
          <w:color w:val="000000"/>
          <w:sz w:val="23"/>
          <w:szCs w:val="23"/>
          <w:lang w:eastAsia="fr-FR"/>
        </w:rPr>
        <w:t> », indique un autre trader.</w:t>
      </w:r>
    </w:p>
    <w:p w14:paraId="6F91AC8F"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Sur le reste du continent, les primes sont restées étales, dans un marché concentré sur les prix élevés de l’électricité et les coûts de financements et de logistiques supérieurs à la normale. Des sources soulignent que « </w:t>
      </w:r>
      <w:r w:rsidRPr="001F6CF2">
        <w:rPr>
          <w:rFonts w:ascii="Lato" w:eastAsia="Times New Roman" w:hAnsi="Lato" w:cs="Times New Roman"/>
          <w:i/>
          <w:iCs/>
          <w:color w:val="000000"/>
          <w:sz w:val="23"/>
          <w:szCs w:val="23"/>
          <w:lang w:eastAsia="fr-FR"/>
        </w:rPr>
        <w:t>si les producteurs répercutent leurs coûts, les consommateurs peinent à garder la tête hors de l’eau</w:t>
      </w:r>
      <w:r w:rsidRPr="001F6CF2">
        <w:rPr>
          <w:rFonts w:ascii="Lato" w:eastAsia="Times New Roman" w:hAnsi="Lato" w:cs="Times New Roman"/>
          <w:color w:val="000000"/>
          <w:sz w:val="23"/>
          <w:szCs w:val="23"/>
          <w:lang w:eastAsia="fr-FR"/>
        </w:rPr>
        <w:t> ». Les primes sur les </w:t>
      </w:r>
      <w:r w:rsidRPr="001F6CF2">
        <w:rPr>
          <w:rFonts w:ascii="Lato" w:eastAsia="Times New Roman" w:hAnsi="Lato" w:cs="Times New Roman"/>
          <w:color w:val="000000"/>
          <w:sz w:val="23"/>
          <w:szCs w:val="23"/>
          <w:u w:val="single"/>
          <w:lang w:eastAsia="fr-FR"/>
        </w:rPr>
        <w:t>cathodes de cuivre Grade A</w:t>
      </w:r>
      <w:r w:rsidRPr="001F6CF2">
        <w:rPr>
          <w:rFonts w:ascii="Lato" w:eastAsia="Times New Roman" w:hAnsi="Lato" w:cs="Times New Roman"/>
          <w:color w:val="000000"/>
          <w:sz w:val="23"/>
          <w:szCs w:val="23"/>
          <w:lang w:eastAsia="fr-FR"/>
        </w:rPr>
        <w:t xml:space="preserve">, </w:t>
      </w:r>
      <w:proofErr w:type="spellStart"/>
      <w:r w:rsidRPr="001F6CF2">
        <w:rPr>
          <w:rFonts w:ascii="Lato" w:eastAsia="Times New Roman" w:hAnsi="Lato" w:cs="Times New Roman"/>
          <w:color w:val="000000"/>
          <w:sz w:val="23"/>
          <w:szCs w:val="23"/>
          <w:lang w:eastAsia="fr-FR"/>
        </w:rPr>
        <w:t>cif</w:t>
      </w:r>
      <w:proofErr w:type="spellEnd"/>
      <w:r w:rsidRPr="001F6CF2">
        <w:rPr>
          <w:rFonts w:ascii="Lato" w:eastAsia="Times New Roman" w:hAnsi="Lato" w:cs="Times New Roman"/>
          <w:color w:val="000000"/>
          <w:sz w:val="23"/>
          <w:szCs w:val="23"/>
          <w:lang w:eastAsia="fr-FR"/>
        </w:rPr>
        <w:t> </w:t>
      </w:r>
      <w:r w:rsidRPr="001F6CF2">
        <w:rPr>
          <w:rFonts w:ascii="Lato" w:eastAsia="Times New Roman" w:hAnsi="Lato" w:cs="Times New Roman"/>
          <w:b/>
          <w:bCs/>
          <w:color w:val="000000"/>
          <w:sz w:val="23"/>
          <w:szCs w:val="23"/>
          <w:lang w:eastAsia="fr-FR"/>
        </w:rPr>
        <w:t>Rotterdam</w:t>
      </w:r>
      <w:r w:rsidRPr="001F6CF2">
        <w:rPr>
          <w:rFonts w:ascii="Lato" w:eastAsia="Times New Roman" w:hAnsi="Lato" w:cs="Times New Roman"/>
          <w:color w:val="000000"/>
          <w:sz w:val="23"/>
          <w:szCs w:val="23"/>
          <w:lang w:eastAsia="fr-FR"/>
        </w:rPr>
        <w:t>, se nouent entre 50 et 100 $/t. Les primes sur les cathodes livrées en </w:t>
      </w:r>
      <w:r w:rsidRPr="001F6CF2">
        <w:rPr>
          <w:rFonts w:ascii="Lato" w:eastAsia="Times New Roman" w:hAnsi="Lato" w:cs="Times New Roman"/>
          <w:b/>
          <w:bCs/>
          <w:color w:val="000000"/>
          <w:sz w:val="23"/>
          <w:szCs w:val="23"/>
          <w:lang w:eastAsia="fr-FR"/>
        </w:rPr>
        <w:t>Allemagne </w:t>
      </w:r>
      <w:r w:rsidRPr="001F6CF2">
        <w:rPr>
          <w:rFonts w:ascii="Lato" w:eastAsia="Times New Roman" w:hAnsi="Lato" w:cs="Times New Roman"/>
          <w:color w:val="000000"/>
          <w:sz w:val="23"/>
          <w:szCs w:val="23"/>
          <w:lang w:eastAsia="fr-FR"/>
        </w:rPr>
        <w:t>sont stables à 140-160 $/t. De l’avis des acteurs du marché, les vendeurs seraient, outre-Rhin, plus nombreux que les acheteurs.</w:t>
      </w:r>
    </w:p>
    <w:p w14:paraId="4295D94B"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Les acteurs du marché continuent de garder un œil sur l’évolution à la bourse de Londres, laquelle pourrait prendre des mesures contre le métal russe.</w:t>
      </w:r>
    </w:p>
    <w:p w14:paraId="09BDE917"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 </w:t>
      </w:r>
    </w:p>
    <w:p w14:paraId="55A3DED6"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b/>
          <w:bCs/>
          <w:color w:val="A52A2A"/>
          <w:sz w:val="23"/>
          <w:szCs w:val="23"/>
          <w:lang w:eastAsia="fr-FR"/>
        </w:rPr>
        <w:t>Aluminium : la baisse s’accentue</w:t>
      </w:r>
    </w:p>
    <w:p w14:paraId="0AA89C86"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Sur le marché européen de l’aluminium, les primes ont poursuivi leur contraction, tirées à la baisse par le recul de la demande et la contraction de l’économie. Les primes nouées sur les </w:t>
      </w:r>
      <w:r w:rsidRPr="001F6CF2">
        <w:rPr>
          <w:rFonts w:ascii="Lato" w:eastAsia="Times New Roman" w:hAnsi="Lato" w:cs="Times New Roman"/>
          <w:color w:val="000000"/>
          <w:sz w:val="23"/>
          <w:szCs w:val="23"/>
          <w:u w:val="single"/>
          <w:lang w:eastAsia="fr-FR"/>
        </w:rPr>
        <w:t>lingots P1020 dédouanés</w:t>
      </w:r>
      <w:r w:rsidRPr="001F6CF2">
        <w:rPr>
          <w:rFonts w:ascii="Lato" w:eastAsia="Times New Roman" w:hAnsi="Lato" w:cs="Times New Roman"/>
          <w:color w:val="000000"/>
          <w:sz w:val="23"/>
          <w:szCs w:val="23"/>
          <w:lang w:eastAsia="fr-FR"/>
        </w:rPr>
        <w:t>, au départ des entrepôts de </w:t>
      </w:r>
      <w:r w:rsidRPr="001F6CF2">
        <w:rPr>
          <w:rFonts w:ascii="Lato" w:eastAsia="Times New Roman" w:hAnsi="Lato" w:cs="Times New Roman"/>
          <w:b/>
          <w:bCs/>
          <w:color w:val="000000"/>
          <w:sz w:val="23"/>
          <w:szCs w:val="23"/>
          <w:lang w:eastAsia="fr-FR"/>
        </w:rPr>
        <w:t>Rotterdam</w:t>
      </w:r>
      <w:r w:rsidRPr="001F6CF2">
        <w:rPr>
          <w:rFonts w:ascii="Lato" w:eastAsia="Times New Roman" w:hAnsi="Lato" w:cs="Times New Roman"/>
          <w:color w:val="000000"/>
          <w:sz w:val="23"/>
          <w:szCs w:val="23"/>
          <w:lang w:eastAsia="fr-FR"/>
        </w:rPr>
        <w:t>, ressortent à 315-345 $/t au dernier fixing, contre 335-365 $/t au précédent. Ce niveau constitue un plus bas de près de 10 mois. Début septembre les primes se nouaient à 430-480 $/t. « </w:t>
      </w:r>
      <w:r w:rsidRPr="001F6CF2">
        <w:rPr>
          <w:rFonts w:ascii="Lato" w:eastAsia="Times New Roman" w:hAnsi="Lato" w:cs="Times New Roman"/>
          <w:i/>
          <w:iCs/>
          <w:color w:val="000000"/>
          <w:sz w:val="23"/>
          <w:szCs w:val="23"/>
          <w:lang w:eastAsia="fr-FR"/>
        </w:rPr>
        <w:t>Ce n’est plus uniquement une histoire de sentiment. La réalité des fondamentaux frappe le marché et les baisses de commandes de l’ordre de 70% pour certains consommateurs n’ont pas encore été absorbées par le marché. Mais c’est la réalité à laquelle le marché va devoir se confronter. Face à une demande en forte contraction, les acteurs se battent pour dégager des liquidités</w:t>
      </w:r>
      <w:r w:rsidRPr="001F6CF2">
        <w:rPr>
          <w:rFonts w:ascii="Lato" w:eastAsia="Times New Roman" w:hAnsi="Lato" w:cs="Times New Roman"/>
          <w:color w:val="000000"/>
          <w:sz w:val="23"/>
          <w:szCs w:val="23"/>
          <w:lang w:eastAsia="fr-FR"/>
        </w:rPr>
        <w:t> », indique un trader.</w:t>
      </w:r>
    </w:p>
    <w:p w14:paraId="01897FEC"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Les primes négociées sur les </w:t>
      </w:r>
      <w:r w:rsidRPr="001F6CF2">
        <w:rPr>
          <w:rFonts w:ascii="Lato" w:eastAsia="Times New Roman" w:hAnsi="Lato" w:cs="Times New Roman"/>
          <w:color w:val="000000"/>
          <w:sz w:val="23"/>
          <w:szCs w:val="23"/>
          <w:u w:val="single"/>
          <w:lang w:eastAsia="fr-FR"/>
        </w:rPr>
        <w:t>lingots P1020 non dédouanés</w:t>
      </w:r>
      <w:r w:rsidRPr="001F6CF2">
        <w:rPr>
          <w:rFonts w:ascii="Lato" w:eastAsia="Times New Roman" w:hAnsi="Lato" w:cs="Times New Roman"/>
          <w:color w:val="000000"/>
          <w:sz w:val="23"/>
          <w:szCs w:val="23"/>
          <w:lang w:eastAsia="fr-FR"/>
        </w:rPr>
        <w:t> ont reculé à 230-250 $/t, au départ des entrepôts de </w:t>
      </w:r>
      <w:r w:rsidRPr="001F6CF2">
        <w:rPr>
          <w:rFonts w:ascii="Lato" w:eastAsia="Times New Roman" w:hAnsi="Lato" w:cs="Times New Roman"/>
          <w:b/>
          <w:bCs/>
          <w:color w:val="000000"/>
          <w:sz w:val="23"/>
          <w:szCs w:val="23"/>
          <w:lang w:eastAsia="fr-FR"/>
        </w:rPr>
        <w:t>Rotterdam</w:t>
      </w:r>
      <w:r w:rsidRPr="001F6CF2">
        <w:rPr>
          <w:rFonts w:ascii="Lato" w:eastAsia="Times New Roman" w:hAnsi="Lato" w:cs="Times New Roman"/>
          <w:color w:val="000000"/>
          <w:sz w:val="23"/>
          <w:szCs w:val="23"/>
          <w:lang w:eastAsia="fr-FR"/>
        </w:rPr>
        <w:t>, contre 280-310 $/t une semaine auparavant. Les primes ont perdu la moitié de leur valeur depuis leur niveau record de 500-510 $/t enregistré en mai et évoluent à leur plus bas niveau depuis décembre 2020. Cependant, certains traders disent avoir une vision plus claire de l’état de la demande depuis le sommet sur l’aluminium à Düsseldorf (Allemagne) en septembre. «</w:t>
      </w:r>
      <w:r w:rsidRPr="001F6CF2">
        <w:rPr>
          <w:rFonts w:ascii="Lato" w:eastAsia="Times New Roman" w:hAnsi="Lato" w:cs="Times New Roman"/>
          <w:i/>
          <w:iCs/>
          <w:color w:val="000000"/>
          <w:sz w:val="23"/>
          <w:szCs w:val="23"/>
          <w:lang w:eastAsia="fr-FR"/>
        </w:rPr>
        <w:t xml:space="preserve"> Il semblerait que les acteurs du </w:t>
      </w:r>
      <w:r w:rsidRPr="001F6CF2">
        <w:rPr>
          <w:rFonts w:ascii="Lato" w:eastAsia="Times New Roman" w:hAnsi="Lato" w:cs="Times New Roman"/>
          <w:i/>
          <w:iCs/>
          <w:color w:val="000000"/>
          <w:sz w:val="23"/>
          <w:szCs w:val="23"/>
          <w:lang w:eastAsia="fr-FR"/>
        </w:rPr>
        <w:lastRenderedPageBreak/>
        <w:t>marché se soient faits à l’idée que la demande allait baisser et tentent de se mettre au diapason </w:t>
      </w:r>
      <w:r w:rsidRPr="001F6CF2">
        <w:rPr>
          <w:rFonts w:ascii="Lato" w:eastAsia="Times New Roman" w:hAnsi="Lato" w:cs="Times New Roman"/>
          <w:color w:val="000000"/>
          <w:sz w:val="23"/>
          <w:szCs w:val="23"/>
          <w:lang w:eastAsia="fr-FR"/>
        </w:rPr>
        <w:t>», constate un second trader.</w:t>
      </w:r>
    </w:p>
    <w:p w14:paraId="12FD3FE7"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Dans le sud du continent, les primes sont également sous pression. Elles se sont repliées, conséquence du recul de la demande et de la progression des stocks. Les primes sur le </w:t>
      </w:r>
      <w:r w:rsidRPr="001F6CF2">
        <w:rPr>
          <w:rFonts w:ascii="Lato" w:eastAsia="Times New Roman" w:hAnsi="Lato" w:cs="Times New Roman"/>
          <w:color w:val="000000"/>
          <w:sz w:val="23"/>
          <w:szCs w:val="23"/>
          <w:u w:val="single"/>
          <w:lang w:eastAsia="fr-FR"/>
        </w:rPr>
        <w:t>métal dédouané</w:t>
      </w:r>
      <w:r w:rsidRPr="001F6CF2">
        <w:rPr>
          <w:rFonts w:ascii="Lato" w:eastAsia="Times New Roman" w:hAnsi="Lato" w:cs="Times New Roman"/>
          <w:color w:val="000000"/>
          <w:sz w:val="23"/>
          <w:szCs w:val="23"/>
          <w:lang w:eastAsia="fr-FR"/>
        </w:rPr>
        <w:t xml:space="preserve">, </w:t>
      </w:r>
      <w:proofErr w:type="spellStart"/>
      <w:r w:rsidRPr="001F6CF2">
        <w:rPr>
          <w:rFonts w:ascii="Lato" w:eastAsia="Times New Roman" w:hAnsi="Lato" w:cs="Times New Roman"/>
          <w:color w:val="000000"/>
          <w:sz w:val="23"/>
          <w:szCs w:val="23"/>
          <w:lang w:eastAsia="fr-FR"/>
        </w:rPr>
        <w:t>fca</w:t>
      </w:r>
      <w:proofErr w:type="spellEnd"/>
      <w:r w:rsidRPr="001F6CF2">
        <w:rPr>
          <w:rFonts w:ascii="Lato" w:eastAsia="Times New Roman" w:hAnsi="Lato" w:cs="Times New Roman"/>
          <w:color w:val="000000"/>
          <w:sz w:val="23"/>
          <w:szCs w:val="23"/>
          <w:lang w:eastAsia="fr-FR"/>
        </w:rPr>
        <w:t> </w:t>
      </w:r>
      <w:r w:rsidRPr="001F6CF2">
        <w:rPr>
          <w:rFonts w:ascii="Lato" w:eastAsia="Times New Roman" w:hAnsi="Lato" w:cs="Times New Roman"/>
          <w:b/>
          <w:bCs/>
          <w:color w:val="000000"/>
          <w:sz w:val="23"/>
          <w:szCs w:val="23"/>
          <w:lang w:eastAsia="fr-FR"/>
        </w:rPr>
        <w:t>Italie</w:t>
      </w:r>
      <w:r w:rsidRPr="001F6CF2">
        <w:rPr>
          <w:rFonts w:ascii="Lato" w:eastAsia="Times New Roman" w:hAnsi="Lato" w:cs="Times New Roman"/>
          <w:color w:val="000000"/>
          <w:sz w:val="23"/>
          <w:szCs w:val="23"/>
          <w:lang w:eastAsia="fr-FR"/>
        </w:rPr>
        <w:t>, ont fléchi de 15,9% à 350-390 $/t, contre 430-450 $/t. Les primes sont à leur plus bas niveau depuis 15 mois ; elles se nouaient à 350-380 $/t en juin 2021. Certaines qualités de lingots ont en particulier fait l’objet d’offres en nette baisse, des offres qui ont contraint les autres vendeurs à faire des propositions encore plus compétitives. «</w:t>
      </w:r>
      <w:r w:rsidRPr="001F6CF2">
        <w:rPr>
          <w:rFonts w:ascii="Lato" w:eastAsia="Times New Roman" w:hAnsi="Lato" w:cs="Times New Roman"/>
          <w:i/>
          <w:iCs/>
          <w:color w:val="000000"/>
          <w:sz w:val="23"/>
          <w:szCs w:val="23"/>
          <w:lang w:eastAsia="fr-FR"/>
        </w:rPr>
        <w:t> Je fais les mêmes offres en Italie qu’à Rotterdam, je ne vois plus d’offre pour Trieste, le marché est très bas </w:t>
      </w:r>
      <w:r w:rsidRPr="001F6CF2">
        <w:rPr>
          <w:rFonts w:ascii="Lato" w:eastAsia="Times New Roman" w:hAnsi="Lato" w:cs="Times New Roman"/>
          <w:color w:val="000000"/>
          <w:sz w:val="23"/>
          <w:szCs w:val="23"/>
          <w:lang w:eastAsia="fr-FR"/>
        </w:rPr>
        <w:t>», précise un troisième trader. En </w:t>
      </w:r>
      <w:r w:rsidRPr="001F6CF2">
        <w:rPr>
          <w:rFonts w:ascii="Lato" w:eastAsia="Times New Roman" w:hAnsi="Lato" w:cs="Times New Roman"/>
          <w:b/>
          <w:bCs/>
          <w:color w:val="000000"/>
          <w:sz w:val="23"/>
          <w:szCs w:val="23"/>
          <w:lang w:eastAsia="fr-FR"/>
        </w:rPr>
        <w:t>Espagne</w:t>
      </w:r>
      <w:r w:rsidRPr="001F6CF2">
        <w:rPr>
          <w:rFonts w:ascii="Lato" w:eastAsia="Times New Roman" w:hAnsi="Lato" w:cs="Times New Roman"/>
          <w:color w:val="000000"/>
          <w:sz w:val="23"/>
          <w:szCs w:val="23"/>
          <w:lang w:eastAsia="fr-FR"/>
        </w:rPr>
        <w:t xml:space="preserve">, les primes pour le métal disponible sur une base </w:t>
      </w:r>
      <w:proofErr w:type="spellStart"/>
      <w:r w:rsidRPr="001F6CF2">
        <w:rPr>
          <w:rFonts w:ascii="Lato" w:eastAsia="Times New Roman" w:hAnsi="Lato" w:cs="Times New Roman"/>
          <w:color w:val="000000"/>
          <w:sz w:val="23"/>
          <w:szCs w:val="23"/>
          <w:lang w:eastAsia="fr-FR"/>
        </w:rPr>
        <w:t>fca</w:t>
      </w:r>
      <w:proofErr w:type="spellEnd"/>
      <w:r w:rsidRPr="001F6CF2">
        <w:rPr>
          <w:rFonts w:ascii="Lato" w:eastAsia="Times New Roman" w:hAnsi="Lato" w:cs="Times New Roman"/>
          <w:color w:val="000000"/>
          <w:sz w:val="23"/>
          <w:szCs w:val="23"/>
          <w:lang w:eastAsia="fr-FR"/>
        </w:rPr>
        <w:t xml:space="preserve"> ont reculé à 370-390 $/t, contre 450-470 $/t il y a deux semaines.</w:t>
      </w:r>
    </w:p>
    <w:p w14:paraId="1889391E"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br/>
      </w:r>
      <w:r w:rsidRPr="001F6CF2">
        <w:rPr>
          <w:rFonts w:ascii="Lato" w:eastAsia="Times New Roman" w:hAnsi="Lato" w:cs="Times New Roman"/>
          <w:b/>
          <w:bCs/>
          <w:color w:val="A52A2A"/>
          <w:sz w:val="23"/>
          <w:szCs w:val="23"/>
          <w:lang w:eastAsia="fr-FR"/>
        </w:rPr>
        <w:t>Zinc : vives tensions sur l’offre</w:t>
      </w:r>
    </w:p>
    <w:p w14:paraId="6360FBB7"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Les primes, sur le marché physique du zinc, ont progressé, portées par des tensions très fortes sur les disponibilités, en dépit de la contraction de la demande. Les primes sur les </w:t>
      </w:r>
      <w:r w:rsidRPr="001F6CF2">
        <w:rPr>
          <w:rFonts w:ascii="Lato" w:eastAsia="Times New Roman" w:hAnsi="Lato" w:cs="Times New Roman"/>
          <w:color w:val="000000"/>
          <w:sz w:val="23"/>
          <w:szCs w:val="23"/>
          <w:u w:val="single"/>
          <w:lang w:eastAsia="fr-FR"/>
        </w:rPr>
        <w:t>lingots SHG</w:t>
      </w:r>
      <w:r w:rsidRPr="001F6CF2">
        <w:rPr>
          <w:rFonts w:ascii="Lato" w:eastAsia="Times New Roman" w:hAnsi="Lato" w:cs="Times New Roman"/>
          <w:color w:val="000000"/>
          <w:sz w:val="23"/>
          <w:szCs w:val="23"/>
          <w:lang w:eastAsia="fr-FR"/>
        </w:rPr>
        <w:t> </w:t>
      </w:r>
      <w:proofErr w:type="spellStart"/>
      <w:r w:rsidRPr="001F6CF2">
        <w:rPr>
          <w:rFonts w:ascii="Lato" w:eastAsia="Times New Roman" w:hAnsi="Lato" w:cs="Times New Roman"/>
          <w:color w:val="000000"/>
          <w:sz w:val="23"/>
          <w:szCs w:val="23"/>
          <w:lang w:eastAsia="fr-FR"/>
        </w:rPr>
        <w:t>fca</w:t>
      </w:r>
      <w:proofErr w:type="spellEnd"/>
      <w:r w:rsidRPr="001F6CF2">
        <w:rPr>
          <w:rFonts w:ascii="Lato" w:eastAsia="Times New Roman" w:hAnsi="Lato" w:cs="Times New Roman"/>
          <w:color w:val="000000"/>
          <w:sz w:val="23"/>
          <w:szCs w:val="23"/>
          <w:lang w:eastAsia="fr-FR"/>
        </w:rPr>
        <w:t> </w:t>
      </w:r>
      <w:r w:rsidRPr="001F6CF2">
        <w:rPr>
          <w:rFonts w:ascii="Lato" w:eastAsia="Times New Roman" w:hAnsi="Lato" w:cs="Times New Roman"/>
          <w:b/>
          <w:bCs/>
          <w:color w:val="000000"/>
          <w:sz w:val="23"/>
          <w:szCs w:val="23"/>
          <w:lang w:eastAsia="fr-FR"/>
        </w:rPr>
        <w:t>Anvers </w:t>
      </w:r>
      <w:r w:rsidRPr="001F6CF2">
        <w:rPr>
          <w:rFonts w:ascii="Lato" w:eastAsia="Times New Roman" w:hAnsi="Lato" w:cs="Times New Roman"/>
          <w:color w:val="000000"/>
          <w:sz w:val="23"/>
          <w:szCs w:val="23"/>
          <w:lang w:eastAsia="fr-FR"/>
        </w:rPr>
        <w:t>et </w:t>
      </w:r>
      <w:r w:rsidRPr="001F6CF2">
        <w:rPr>
          <w:rFonts w:ascii="Lato" w:eastAsia="Times New Roman" w:hAnsi="Lato" w:cs="Times New Roman"/>
          <w:b/>
          <w:bCs/>
          <w:color w:val="000000"/>
          <w:sz w:val="23"/>
          <w:szCs w:val="23"/>
          <w:lang w:eastAsia="fr-FR"/>
        </w:rPr>
        <w:t>Rotterdam </w:t>
      </w:r>
      <w:r w:rsidRPr="001F6CF2">
        <w:rPr>
          <w:rFonts w:ascii="Lato" w:eastAsia="Times New Roman" w:hAnsi="Lato" w:cs="Times New Roman"/>
          <w:color w:val="000000"/>
          <w:sz w:val="23"/>
          <w:szCs w:val="23"/>
          <w:lang w:eastAsia="fr-FR"/>
        </w:rPr>
        <w:t>ont grimpé à 500-550 $/t, contre 500-530 $/t la semaine passée. « </w:t>
      </w:r>
      <w:r w:rsidRPr="001F6CF2">
        <w:rPr>
          <w:rFonts w:ascii="Lato" w:eastAsia="Times New Roman" w:hAnsi="Lato" w:cs="Times New Roman"/>
          <w:i/>
          <w:iCs/>
          <w:color w:val="000000"/>
          <w:sz w:val="23"/>
          <w:szCs w:val="23"/>
          <w:lang w:eastAsia="fr-FR"/>
        </w:rPr>
        <w:t>Les gens nous demandent chaque jour ce qui va se passer l’année prochaine et à chaque fois nous leur répondons que nous ne savons pas</w:t>
      </w:r>
      <w:r w:rsidRPr="001F6CF2">
        <w:rPr>
          <w:rFonts w:ascii="Lato" w:eastAsia="Times New Roman" w:hAnsi="Lato" w:cs="Times New Roman"/>
          <w:color w:val="000000"/>
          <w:sz w:val="23"/>
          <w:szCs w:val="23"/>
          <w:lang w:eastAsia="fr-FR"/>
        </w:rPr>
        <w:t> », indique un trader. Les prix de l’électricité restent élevés en Europe, et l’inquiétude grandit au sujet des coupes de production. «</w:t>
      </w:r>
      <w:r w:rsidRPr="001F6CF2">
        <w:rPr>
          <w:rFonts w:ascii="Lato" w:eastAsia="Times New Roman" w:hAnsi="Lato" w:cs="Times New Roman"/>
          <w:i/>
          <w:iCs/>
          <w:color w:val="000000"/>
          <w:sz w:val="23"/>
          <w:szCs w:val="23"/>
          <w:lang w:eastAsia="fr-FR"/>
        </w:rPr>
        <w:t> Toutes les difficultés que le marché doit surmonter, tels que la récession, le recul de la demande et les fermetures de capacités, trouvent leur origine dans la crise de l’énergie</w:t>
      </w:r>
      <w:r w:rsidRPr="001F6CF2">
        <w:rPr>
          <w:rFonts w:ascii="Lato" w:eastAsia="Times New Roman" w:hAnsi="Lato" w:cs="Times New Roman"/>
          <w:color w:val="000000"/>
          <w:sz w:val="23"/>
          <w:szCs w:val="23"/>
          <w:lang w:eastAsia="fr-FR"/>
        </w:rPr>
        <w:t> », résume un consommateur. Des acheteurs tenteraient de faire venir du métal des pays hors UE, d’Asie notamment, les coûts de transport ayant reculé. « </w:t>
      </w:r>
      <w:r w:rsidRPr="001F6CF2">
        <w:rPr>
          <w:rFonts w:ascii="Lato" w:eastAsia="Times New Roman" w:hAnsi="Lato" w:cs="Times New Roman"/>
          <w:i/>
          <w:iCs/>
          <w:color w:val="000000"/>
          <w:sz w:val="23"/>
          <w:szCs w:val="23"/>
          <w:lang w:eastAsia="fr-FR"/>
        </w:rPr>
        <w:t>Si les importations de zinc devaient avoir lieu, les primes s’effondreraient, au vu de la faiblesse de la demande</w:t>
      </w:r>
      <w:r w:rsidRPr="001F6CF2">
        <w:rPr>
          <w:rFonts w:ascii="Lato" w:eastAsia="Times New Roman" w:hAnsi="Lato" w:cs="Times New Roman"/>
          <w:color w:val="000000"/>
          <w:sz w:val="23"/>
          <w:szCs w:val="23"/>
          <w:lang w:eastAsia="fr-FR"/>
        </w:rPr>
        <w:t> », poursuit le consommateur.</w:t>
      </w:r>
    </w:p>
    <w:p w14:paraId="1AA58C70"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Dans le sillage des primes nouées dans le nord du continent, celles négociées dans le sud ont également renchéri, à 520-580 $/t pour le métal dédouané livré en </w:t>
      </w:r>
      <w:r w:rsidRPr="001F6CF2">
        <w:rPr>
          <w:rFonts w:ascii="Lato" w:eastAsia="Times New Roman" w:hAnsi="Lato" w:cs="Times New Roman"/>
          <w:b/>
          <w:bCs/>
          <w:color w:val="000000"/>
          <w:sz w:val="23"/>
          <w:szCs w:val="23"/>
          <w:lang w:eastAsia="fr-FR"/>
        </w:rPr>
        <w:t>Italie</w:t>
      </w:r>
      <w:r w:rsidRPr="001F6CF2">
        <w:rPr>
          <w:rFonts w:ascii="Lato" w:eastAsia="Times New Roman" w:hAnsi="Lato" w:cs="Times New Roman"/>
          <w:color w:val="000000"/>
          <w:sz w:val="23"/>
          <w:szCs w:val="23"/>
          <w:lang w:eastAsia="fr-FR"/>
        </w:rPr>
        <w:t xml:space="preserve">. Les acteurs de marché s’inquiètent d’une possible suspension de la production de zinc à la fonderie de </w:t>
      </w:r>
      <w:proofErr w:type="spellStart"/>
      <w:r w:rsidRPr="001F6CF2">
        <w:rPr>
          <w:rFonts w:ascii="Lato" w:eastAsia="Times New Roman" w:hAnsi="Lato" w:cs="Times New Roman"/>
          <w:color w:val="000000"/>
          <w:sz w:val="23"/>
          <w:szCs w:val="23"/>
          <w:lang w:eastAsia="fr-FR"/>
        </w:rPr>
        <w:t>Portovesme</w:t>
      </w:r>
      <w:proofErr w:type="spellEnd"/>
      <w:r w:rsidRPr="001F6CF2">
        <w:rPr>
          <w:rFonts w:ascii="Lato" w:eastAsia="Times New Roman" w:hAnsi="Lato" w:cs="Times New Roman"/>
          <w:color w:val="000000"/>
          <w:sz w:val="23"/>
          <w:szCs w:val="23"/>
          <w:lang w:eastAsia="fr-FR"/>
        </w:rPr>
        <w:t xml:space="preserve"> de </w:t>
      </w:r>
      <w:proofErr w:type="spellStart"/>
      <w:r w:rsidRPr="001F6CF2">
        <w:rPr>
          <w:rFonts w:ascii="Lato" w:eastAsia="Times New Roman" w:hAnsi="Lato" w:cs="Times New Roman"/>
          <w:b/>
          <w:bCs/>
          <w:color w:val="000000"/>
          <w:sz w:val="23"/>
          <w:szCs w:val="23"/>
          <w:lang w:eastAsia="fr-FR"/>
        </w:rPr>
        <w:t>Glencore</w:t>
      </w:r>
      <w:proofErr w:type="spellEnd"/>
      <w:r w:rsidRPr="001F6CF2">
        <w:rPr>
          <w:rFonts w:ascii="Lato" w:eastAsia="Times New Roman" w:hAnsi="Lato" w:cs="Times New Roman"/>
          <w:color w:val="000000"/>
          <w:sz w:val="23"/>
          <w:szCs w:val="23"/>
          <w:lang w:eastAsia="fr-FR"/>
        </w:rPr>
        <w:t>. «</w:t>
      </w:r>
      <w:r w:rsidRPr="001F6CF2">
        <w:rPr>
          <w:rFonts w:ascii="Lato" w:eastAsia="Times New Roman" w:hAnsi="Lato" w:cs="Times New Roman"/>
          <w:i/>
          <w:iCs/>
          <w:color w:val="000000"/>
          <w:sz w:val="23"/>
          <w:szCs w:val="23"/>
          <w:lang w:eastAsia="fr-FR"/>
        </w:rPr>
        <w:t> La production de zinc est plus énergivore que celle de celle de plomb, ce ne serait donc pas surprenant de voir cette production également interrompue</w:t>
      </w:r>
      <w:r w:rsidRPr="001F6CF2">
        <w:rPr>
          <w:rFonts w:ascii="Lato" w:eastAsia="Times New Roman" w:hAnsi="Lato" w:cs="Times New Roman"/>
          <w:color w:val="000000"/>
          <w:sz w:val="23"/>
          <w:szCs w:val="23"/>
          <w:lang w:eastAsia="fr-FR"/>
        </w:rPr>
        <w:t xml:space="preserve"> », commente le trader. Les primes sur les lingots dédouanés </w:t>
      </w:r>
      <w:proofErr w:type="spellStart"/>
      <w:r w:rsidRPr="001F6CF2">
        <w:rPr>
          <w:rFonts w:ascii="Lato" w:eastAsia="Times New Roman" w:hAnsi="Lato" w:cs="Times New Roman"/>
          <w:color w:val="000000"/>
          <w:sz w:val="23"/>
          <w:szCs w:val="23"/>
          <w:lang w:eastAsia="fr-FR"/>
        </w:rPr>
        <w:t>fca</w:t>
      </w:r>
      <w:proofErr w:type="spellEnd"/>
      <w:r w:rsidRPr="001F6CF2">
        <w:rPr>
          <w:rFonts w:ascii="Lato" w:eastAsia="Times New Roman" w:hAnsi="Lato" w:cs="Times New Roman"/>
          <w:color w:val="000000"/>
          <w:sz w:val="23"/>
          <w:szCs w:val="23"/>
          <w:lang w:eastAsia="fr-FR"/>
        </w:rPr>
        <w:t xml:space="preserve"> Italie sont inchangées à 500-510 $/t.</w:t>
      </w:r>
    </w:p>
    <w:p w14:paraId="5C096486"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 </w:t>
      </w:r>
    </w:p>
    <w:p w14:paraId="6F625F97"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b/>
          <w:bCs/>
          <w:color w:val="A52A2A"/>
          <w:sz w:val="23"/>
          <w:szCs w:val="23"/>
          <w:lang w:eastAsia="fr-FR"/>
        </w:rPr>
        <w:t>Nickel : les cathodes en recul</w:t>
      </w:r>
    </w:p>
    <w:p w14:paraId="2BFA07D0"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Les primes sur les </w:t>
      </w:r>
      <w:r w:rsidRPr="001F6CF2">
        <w:rPr>
          <w:rFonts w:ascii="Lato" w:eastAsia="Times New Roman" w:hAnsi="Lato" w:cs="Times New Roman"/>
          <w:color w:val="000000"/>
          <w:sz w:val="23"/>
          <w:szCs w:val="23"/>
          <w:u w:val="single"/>
          <w:lang w:eastAsia="fr-FR"/>
        </w:rPr>
        <w:t>cathodes entières</w:t>
      </w:r>
      <w:r w:rsidRPr="001F6CF2">
        <w:rPr>
          <w:rFonts w:ascii="Lato" w:eastAsia="Times New Roman" w:hAnsi="Lato" w:cs="Times New Roman"/>
          <w:color w:val="000000"/>
          <w:sz w:val="23"/>
          <w:szCs w:val="23"/>
          <w:lang w:eastAsia="fr-FR"/>
        </w:rPr>
        <w:t> et </w:t>
      </w:r>
      <w:r w:rsidRPr="001F6CF2">
        <w:rPr>
          <w:rFonts w:ascii="Lato" w:eastAsia="Times New Roman" w:hAnsi="Lato" w:cs="Times New Roman"/>
          <w:color w:val="000000"/>
          <w:sz w:val="23"/>
          <w:szCs w:val="23"/>
          <w:u w:val="single"/>
          <w:lang w:eastAsia="fr-FR"/>
        </w:rPr>
        <w:t>coupées</w:t>
      </w:r>
      <w:r w:rsidRPr="001F6CF2">
        <w:rPr>
          <w:rFonts w:ascii="Lato" w:eastAsia="Times New Roman" w:hAnsi="Lato" w:cs="Times New Roman"/>
          <w:color w:val="000000"/>
          <w:sz w:val="23"/>
          <w:szCs w:val="23"/>
          <w:lang w:eastAsia="fr-FR"/>
        </w:rPr>
        <w:t> ont reculé de 100 $, respectivement à 500-900 $/t et 900-1400 $/t, départ entrepôts de </w:t>
      </w:r>
      <w:r w:rsidRPr="001F6CF2">
        <w:rPr>
          <w:rFonts w:ascii="Lato" w:eastAsia="Times New Roman" w:hAnsi="Lato" w:cs="Times New Roman"/>
          <w:b/>
          <w:bCs/>
          <w:color w:val="000000"/>
          <w:sz w:val="23"/>
          <w:szCs w:val="23"/>
          <w:lang w:eastAsia="fr-FR"/>
        </w:rPr>
        <w:t>Rotterdam</w:t>
      </w:r>
      <w:r w:rsidRPr="001F6CF2">
        <w:rPr>
          <w:rFonts w:ascii="Lato" w:eastAsia="Times New Roman" w:hAnsi="Lato" w:cs="Times New Roman"/>
          <w:color w:val="000000"/>
          <w:sz w:val="23"/>
          <w:szCs w:val="23"/>
          <w:lang w:eastAsia="fr-FR"/>
        </w:rPr>
        <w:t>, dans un contexte négatif. Les liquidités restent très limitées, elles se concentrent surtout sur les contrats à terme. Les primes sur les </w:t>
      </w:r>
      <w:r w:rsidRPr="001F6CF2">
        <w:rPr>
          <w:rFonts w:ascii="Lato" w:eastAsia="Times New Roman" w:hAnsi="Lato" w:cs="Times New Roman"/>
          <w:color w:val="000000"/>
          <w:sz w:val="23"/>
          <w:szCs w:val="23"/>
          <w:u w:val="single"/>
          <w:lang w:eastAsia="fr-FR"/>
        </w:rPr>
        <w:t>briquettes</w:t>
      </w:r>
      <w:r w:rsidRPr="001F6CF2">
        <w:rPr>
          <w:rFonts w:ascii="Lato" w:eastAsia="Times New Roman" w:hAnsi="Lato" w:cs="Times New Roman"/>
          <w:color w:val="000000"/>
          <w:sz w:val="23"/>
          <w:szCs w:val="23"/>
          <w:lang w:eastAsia="fr-FR"/>
        </w:rPr>
        <w:t> sont, elles, restées stationnaires, à 700-1000 $/t après avoir reculé la semaine précédente.</w:t>
      </w:r>
    </w:p>
    <w:p w14:paraId="320A7607" w14:textId="77777777" w:rsidR="001F6CF2" w:rsidRPr="001F6CF2" w:rsidRDefault="001F6CF2" w:rsidP="001F6CF2">
      <w:pPr>
        <w:shd w:val="clear" w:color="auto" w:fill="FFFFFF"/>
        <w:spacing w:before="75" w:after="75"/>
        <w:jc w:val="both"/>
        <w:rPr>
          <w:rFonts w:ascii="Lato" w:eastAsia="Times New Roman" w:hAnsi="Lato" w:cs="Times New Roman"/>
          <w:color w:val="000000"/>
          <w:sz w:val="23"/>
          <w:szCs w:val="23"/>
          <w:lang w:eastAsia="fr-FR"/>
        </w:rPr>
      </w:pPr>
      <w:r w:rsidRPr="001F6CF2">
        <w:rPr>
          <w:rFonts w:ascii="Lato" w:eastAsia="Times New Roman" w:hAnsi="Lato" w:cs="Times New Roman"/>
          <w:color w:val="000000"/>
          <w:sz w:val="23"/>
          <w:szCs w:val="23"/>
          <w:lang w:eastAsia="fr-FR"/>
        </w:rPr>
        <w:t> </w:t>
      </w:r>
    </w:p>
    <w:p w14:paraId="5863F0A8"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F2"/>
    <w:rsid w:val="000F156F"/>
    <w:rsid w:val="001F6CF2"/>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F66AE32"/>
  <w15:chartTrackingRefBased/>
  <w15:docId w15:val="{74F1F1D6-74F6-E243-83AC-45763B09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F6CF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F6CF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6CF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F6CF2"/>
    <w:rPr>
      <w:rFonts w:ascii="Times New Roman" w:eastAsia="Times New Roman" w:hAnsi="Times New Roman" w:cs="Times New Roman"/>
      <w:b/>
      <w:bCs/>
      <w:sz w:val="36"/>
      <w:szCs w:val="36"/>
      <w:lang w:eastAsia="fr-FR"/>
    </w:rPr>
  </w:style>
  <w:style w:type="paragraph" w:customStyle="1" w:styleId="infoarticle">
    <w:name w:val="info_article"/>
    <w:basedOn w:val="Normal"/>
    <w:rsid w:val="001F6CF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F6CF2"/>
    <w:rPr>
      <w:color w:val="0000FF"/>
      <w:u w:val="single"/>
    </w:rPr>
  </w:style>
  <w:style w:type="paragraph" w:styleId="NormalWeb">
    <w:name w:val="Normal (Web)"/>
    <w:basedOn w:val="Normal"/>
    <w:uiPriority w:val="99"/>
    <w:semiHidden/>
    <w:unhideWhenUsed/>
    <w:rsid w:val="001F6CF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F6CF2"/>
    <w:rPr>
      <w:b/>
      <w:bCs/>
    </w:rPr>
  </w:style>
  <w:style w:type="character" w:styleId="Accentuation">
    <w:name w:val="Emphasis"/>
    <w:basedOn w:val="Policepardfaut"/>
    <w:uiPriority w:val="20"/>
    <w:qFormat/>
    <w:rsid w:val="001F6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5422</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2022-10-10T11:22:00Z</dcterms:created>
  <dcterms:modified xsi:type="dcterms:W3CDTF">2022-10-10T11:22:00Z</dcterms:modified>
</cp:coreProperties>
</file>